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spacing w:lineRule="auto" w:line="240" w:before="200" w:after="200"/>
        <w:jc w:val="left"/>
        <w:rPr>
          <w:rFonts w:ascii="Times New Roman" w:hAnsi="Times New Roman" w:eastAsia="Times New Roman" w:cs="Times New Roman"/>
        </w:rPr>
      </w:pPr>
      <w:bookmarkStart w:id="0" w:name="_m32woq8e14z9"/>
      <w:bookmarkEnd w:id="0"/>
      <w: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57150</wp:posOffset>
            </wp:positionH>
            <wp:positionV relativeFrom="paragraph">
              <wp:posOffset>123825</wp:posOffset>
            </wp:positionV>
            <wp:extent cx="673100" cy="6731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</w:rPr>
        <w:t>STADO DE SANTA CATARINA</w:t>
        <w:br/>
        <w:t>SECRETARIA DE ESTADO DA SEGURANÇA PÚBLICA</w:t>
        <w:br/>
        <w:t>CORPO DE BOMBEIROS MILITAR DE SANTA CATARINA</w:t>
        <w:b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firstLine="720"/>
        <w:jc w:val="left"/>
        <w:rPr>
          <w:b/>
          <w:b/>
        </w:rPr>
      </w:pPr>
      <w:r>
        <w:rPr>
          <w:b/>
        </w:rPr>
        <w:t>Nota Técnica nº 60/2020 – Altera IN 9</w:t>
      </w:r>
    </w:p>
    <w:p>
      <w:pPr>
        <w:pStyle w:val="Normal"/>
        <w:spacing w:lineRule="auto" w:line="276" w:before="240" w:after="0"/>
        <w:ind w:left="0" w:firstLine="720"/>
        <w:rPr/>
      </w:pPr>
      <w:r>
        <w:rPr/>
        <w:t>O Comandante-Geral do Corpo de Bombeiros Militar de Santa Catarina, no uso de suas atribuições resolve alterar a IN 9 nos seguintes aspectos:</w:t>
      </w:r>
    </w:p>
    <w:p>
      <w:pPr>
        <w:pStyle w:val="Normal"/>
        <w:spacing w:lineRule="auto" w:line="276" w:before="240" w:after="0"/>
        <w:ind w:left="0" w:firstLine="72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200" w:after="200"/>
        <w:ind w:left="720" w:hanging="360"/>
        <w:rPr>
          <w:b/>
          <w:b/>
          <w:u w:val="none"/>
        </w:rPr>
      </w:pPr>
      <w:r>
        <w:rPr>
          <w:b/>
        </w:rPr>
        <w:t>Alterar o Art. 125 que passa a vigorar com a seguinte redação:</w:t>
      </w:r>
    </w:p>
    <w:p>
      <w:pPr>
        <w:pStyle w:val="Normal"/>
        <w:spacing w:lineRule="auto" w:line="276" w:before="200" w:after="200"/>
        <w:ind w:left="0" w:hanging="0"/>
        <w:rPr/>
      </w:pPr>
      <w:r>
        <w:rPr>
          <w:b/>
        </w:rPr>
        <w:tab/>
        <w:t>Art. 125.</w:t>
      </w:r>
      <w:r>
        <w:rPr/>
        <w:t xml:space="preserve"> Esta IN, com vigência em todo o território catarinense, entra em vigor 60 dias após a data de sua publicação.</w:t>
      </w:r>
    </w:p>
    <w:p>
      <w:pPr>
        <w:pStyle w:val="Normal"/>
        <w:spacing w:lineRule="auto" w:line="276" w:before="200" w:after="200"/>
        <w:ind w:left="0" w:firstLine="720"/>
        <w:rPr/>
      </w:pPr>
      <w:r>
        <w:rPr/>
        <w:t>§ 1º Fica autorizada a aplicação da IN 009, editada em 28 de março de 2014, até 30 de junho de 2021 para projetos novos e para alterações de projetos já aprovados, devendo o responsável técnico optar por utilizar na íntegra a IN de 2014 ou de 2020, sendo vedada a mescla entre as duas normas.</w:t>
      </w:r>
    </w:p>
    <w:p>
      <w:pPr>
        <w:pStyle w:val="Normal"/>
        <w:spacing w:lineRule="auto" w:line="276" w:before="200" w:after="200"/>
        <w:ind w:left="0" w:firstLine="720"/>
        <w:rPr/>
      </w:pPr>
      <w:r>
        <w:rPr/>
        <w:t>§ 2º Fica a IN 009, editada em 28 de março de 2014, revogada a contar de 1º de julho de 2021.</w:t>
      </w:r>
    </w:p>
    <w:p>
      <w:pPr>
        <w:pStyle w:val="Normal"/>
        <w:spacing w:lineRule="auto" w:line="276" w:before="200" w:after="200"/>
        <w:ind w:left="0" w:firstLine="720"/>
        <w:rPr/>
      </w:pPr>
      <w:r>
        <w:rPr/>
        <w:t>§ 3º Projetos cujo desenvolvimento seja comprovadamente anterior à data de revogação da IN 009, prevista no parágrafo anterior, valem as prescrições desta Instrução Normativa, admitindo-se possíveis adequações, à critério da DSCI.</w:t>
      </w:r>
    </w:p>
    <w:p>
      <w:pPr>
        <w:pStyle w:val="Normal"/>
        <w:numPr>
          <w:ilvl w:val="0"/>
          <w:numId w:val="1"/>
        </w:numPr>
        <w:spacing w:lineRule="auto" w:line="276" w:before="200" w:after="200"/>
        <w:ind w:left="720" w:hanging="360"/>
        <w:rPr>
          <w:b/>
          <w:b/>
        </w:rPr>
      </w:pPr>
      <w:r>
        <w:rPr>
          <w:b/>
        </w:rPr>
        <w:t>Alterar o inc. II e revogar o inc. III, renumerando os itens subsequentes do Art. 52 que passa a vigorar com a seguinte redação:</w:t>
      </w:r>
    </w:p>
    <w:p>
      <w:pPr>
        <w:pStyle w:val="Normal"/>
        <w:spacing w:lineRule="auto" w:line="276" w:before="200" w:after="200"/>
        <w:ind w:left="720" w:hanging="0"/>
        <w:rPr/>
      </w:pPr>
      <w:r>
        <w:rPr>
          <w:b/>
        </w:rPr>
        <w:t xml:space="preserve">Art. 52. </w:t>
      </w:r>
      <w:r>
        <w:rPr/>
        <w:t>[...]</w:t>
      </w:r>
    </w:p>
    <w:p>
      <w:pPr>
        <w:pStyle w:val="Normal"/>
        <w:spacing w:lineRule="auto" w:line="276" w:before="200" w:after="200"/>
        <w:ind w:left="720" w:hanging="0"/>
        <w:rPr/>
      </w:pPr>
      <w:r>
        <w:rPr/>
        <w:t>II - a porta ao abrir, não pode ocupar a superfície útil do patamar, destinada à circulação de pessoas; e</w:t>
      </w:r>
    </w:p>
    <w:p>
      <w:pPr>
        <w:pStyle w:val="Normal"/>
        <w:spacing w:lineRule="auto" w:line="276" w:before="200" w:after="200"/>
        <w:ind w:left="0" w:hanging="0"/>
        <w:rPr/>
      </w:pPr>
      <w:r>
        <w:rPr/>
      </w:r>
    </w:p>
    <w:p>
      <w:pPr>
        <w:pStyle w:val="Ttulo1"/>
        <w:spacing w:lineRule="auto" w:line="240" w:before="0" w:after="0"/>
        <w:ind w:left="567" w:firstLine="720"/>
        <w:jc w:val="right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</w:r>
      <w:bookmarkStart w:id="1" w:name="_k6rg1gpyin3i"/>
      <w:bookmarkStart w:id="2" w:name="_k6rg1gpyin3i"/>
      <w:bookmarkEnd w:id="2"/>
    </w:p>
    <w:p>
      <w:pPr>
        <w:pStyle w:val="Ttulo1"/>
        <w:spacing w:lineRule="auto" w:line="240" w:before="0" w:after="0"/>
        <w:ind w:left="567" w:firstLine="720"/>
        <w:jc w:val="right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</w:r>
      <w:bookmarkStart w:id="3" w:name="_tv523t8k7y3q"/>
      <w:bookmarkStart w:id="4" w:name="_tv523t8k7y3q"/>
      <w:bookmarkEnd w:id="4"/>
    </w:p>
    <w:p>
      <w:pPr>
        <w:pStyle w:val="Ttulo1"/>
        <w:spacing w:lineRule="auto" w:line="240" w:before="0" w:after="0"/>
        <w:ind w:left="567" w:firstLine="720"/>
        <w:jc w:val="right"/>
        <w:rPr>
          <w:rFonts w:ascii="Times New Roman" w:hAnsi="Times New Roman" w:eastAsia="Times New Roman" w:cs="Times New Roman"/>
          <w:b w:val="false"/>
          <w:b w:val="false"/>
        </w:rPr>
      </w:pPr>
      <w:bookmarkStart w:id="5" w:name="_czzoiqv4jido"/>
      <w:bookmarkEnd w:id="5"/>
      <w:r>
        <w:rPr>
          <w:rFonts w:eastAsia="Times New Roman" w:cs="Times New Roman" w:ascii="Times New Roman" w:hAnsi="Times New Roman"/>
          <w:b w:val="false"/>
        </w:rPr>
        <w:t>Florianópolis, 18 de dezembro de 2020.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Ttulo1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                         </w:t>
      </w:r>
      <w:bookmarkStart w:id="6" w:name="__DdeLink__13352_206998358"/>
      <w:bookmarkEnd w:id="6"/>
      <w:r>
        <w:rPr>
          <w:rFonts w:eastAsia="Times New Roman" w:cs="Times New Roman" w:ascii="Times New Roman" w:hAnsi="Times New Roman"/>
        </w:rPr>
        <w:t>Cel BM – CHARLES ALEXANDRE VIEIRA</w:t>
      </w:r>
    </w:p>
    <w:p>
      <w:pPr>
        <w:pStyle w:val="Ttulo1"/>
        <w:spacing w:lineRule="auto" w:line="240" w:before="0" w:after="0"/>
        <w:rPr/>
      </w:pPr>
      <w:bookmarkStart w:id="7" w:name="_ylcud0n9w8rc"/>
      <w:bookmarkEnd w:id="7"/>
      <w:r>
        <w:rPr>
          <w:rFonts w:eastAsia="Times New Roman" w:cs="Times New Roman" w:ascii="Times New Roman" w:hAnsi="Times New Roman"/>
        </w:rPr>
        <w:t>Comandante-Geral do CBMSC</w:t>
      </w:r>
      <w:bookmarkStart w:id="8" w:name="__DdeLink__13352_206998358"/>
      <w:bookmarkEnd w:id="8"/>
    </w:p>
    <w:sectPr>
      <w:headerReference w:type="default" r:id="rId3"/>
      <w:footerReference w:type="default" r:id="rId4"/>
      <w:type w:val="nextPage"/>
      <w:pgSz w:w="11906" w:h="16838"/>
      <w:pgMar w:left="850" w:right="850" w:header="850" w:top="907" w:footer="0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567" w:right="0" w:hanging="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567" w:hanging="0"/>
      <w:jc w:val="both"/>
    </w:pPr>
    <w:rPr>
      <w:rFonts w:ascii="Calibri" w:hAnsi="Calibri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widowControl w:val="false"/>
      <w:spacing w:lineRule="auto" w:line="276" w:before="200" w:after="200"/>
      <w:ind w:left="0" w:hanging="0"/>
      <w:jc w:val="center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2">
    <w:name w:val="Heading 2"/>
    <w:next w:val="Normal"/>
    <w:qFormat/>
    <w:pPr>
      <w:keepNext w:val="true"/>
      <w:widowControl w:val="false"/>
      <w:spacing w:lineRule="auto" w:line="276" w:before="0" w:after="200"/>
      <w:ind w:left="0" w:hanging="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3">
    <w:name w:val="Heading 3"/>
    <w:next w:val="Normal"/>
    <w:qFormat/>
    <w:pPr>
      <w:keepNext w:val="true"/>
      <w:widowControl w:val="false"/>
      <w:ind w:left="0" w:hanging="0"/>
      <w:jc w:val="center"/>
    </w:pPr>
    <w:rPr>
      <w:rFonts w:ascii="Calibri" w:hAnsi="Calibri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Ttulo4">
    <w:name w:val="Heading 4"/>
    <w:next w:val="Normal"/>
    <w:qFormat/>
    <w:pPr>
      <w:keepNext w:val="true"/>
      <w:widowControl w:val="false"/>
      <w:spacing w:lineRule="auto" w:line="240" w:before="0" w:after="0"/>
      <w:ind w:left="840" w:right="0" w:hanging="0"/>
      <w:jc w:val="both"/>
    </w:pPr>
    <w:rPr>
      <w:rFonts w:ascii="Calibri" w:hAnsi="Calibri" w:eastAsia="Noto Sans CJK SC" w:cs="Lohit Devanagari"/>
      <w:color w:val="FF0000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widowControl w:val="false"/>
      <w:spacing w:lineRule="auto" w:line="240" w:before="0" w:after="0"/>
      <w:ind w:left="0" w:right="0" w:firstLine="426"/>
    </w:pPr>
    <w:rPr>
      <w:rFonts w:ascii="Calibri" w:hAnsi="Calibri" w:eastAsia="Noto Sans CJK SC" w:cs="Lohit Devanagari"/>
      <w:color w:val="auto"/>
      <w:kern w:val="0"/>
      <w:sz w:val="28"/>
      <w:szCs w:val="28"/>
      <w:lang w:val="pt-BR" w:eastAsia="zh-CN" w:bidi="hi-IN"/>
    </w:rPr>
  </w:style>
  <w:style w:type="paragraph" w:styleId="Ttulo6">
    <w:name w:val="Heading 6"/>
    <w:next w:val="Normal"/>
    <w:qFormat/>
    <w:pPr>
      <w:keepNext w:val="true"/>
      <w:widowControl w:val="false"/>
      <w:ind w:left="0" w:right="0" w:hanging="0"/>
      <w:jc w:val="center"/>
    </w:pPr>
    <w:rPr>
      <w:rFonts w:ascii="Calibri" w:hAnsi="Calibri" w:eastAsia="Noto Sans CJK SC" w:cs="Lohit Devanagari"/>
      <w:b/>
      <w:color w:val="auto"/>
      <w:kern w:val="0"/>
      <w:sz w:val="28"/>
      <w:szCs w:val="28"/>
      <w:u w:val="single"/>
      <w:lang w:val="pt-BR" w:eastAsia="zh-CN" w:bidi="hi-IN"/>
    </w:rPr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b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both"/>
    </w:pPr>
    <w:rPr>
      <w:rFonts w:ascii="Calibri" w:hAnsi="Calibri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76" w:before="200" w:after="200"/>
      <w:ind w:left="0" w:hanging="0"/>
      <w:jc w:val="center"/>
    </w:pPr>
    <w:rPr>
      <w:rFonts w:ascii="Calibri" w:hAnsi="Calibri" w:eastAsia="Calibri" w:cs="Calibri"/>
      <w:b/>
    </w:rPr>
  </w:style>
  <w:style w:type="paragraph" w:styleId="Subttulo">
    <w:name w:val="Subtitle"/>
    <w:basedOn w:val="LOnormal"/>
    <w:next w:val="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255</Words>
  <Characters>1195</Characters>
  <CharactersWithSpaces>1462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2021-01-06T13:49:35Z</dcterms:modified>
  <cp:revision>1</cp:revision>
  <dc:subject/>
  <dc:title/>
</cp:coreProperties>
</file>