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1984" w:hanging="0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242/202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14/04/2025.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DESIGNAR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o </w:t>
      </w:r>
      <w:r>
        <w:rPr>
          <w:rFonts w:eastAsia="Arial" w:cs="Arial" w:ascii="Arial" w:hAnsi="Arial"/>
          <w:b/>
          <w:sz w:val="22"/>
          <w:szCs w:val="22"/>
        </w:rPr>
        <w:t>ST BM RR MTCL 920471-7 EVANDRO RICARDO,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em função administrativa no COBOM da 1ª RBM, Balneário Camboriú-SC, no período de 01/05/2025 a 30/04/2027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7196/2025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>
          <w:rFonts w:ascii="Arial" w:hAnsi="Arial" w:eastAsia="Arial" w:cs="Arial"/>
          <w:color w:val="C9211E"/>
          <w:position w:val="0"/>
          <w:sz w:val="24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98</Words>
  <Characters>519</Characters>
  <CharactersWithSpaces>613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2025-04-23T15:52:29Z</dcterms:modified>
  <cp:revision>1</cp:revision>
  <dc:subject/>
  <dc:title/>
</cp:coreProperties>
</file>