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highlight w:val="yellow"/>
          <w:u w:val="single"/>
          <w:vertAlign w:val="baseline"/>
        </w:rPr>
        <w:t>ORIENTAÇÕES</w:t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Para preenchimento da minuta, deverá ser substituído “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somente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” os campos em </w:t>
      </w:r>
      <w:r>
        <w:rPr>
          <w:rFonts w:eastAsia="Arial" w:cs="Arial" w:ascii="Arial" w:hAnsi="Arial"/>
          <w:b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VERMELHO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Caso haja qualquer alteração que não seja da que está em vermelho, deverá ser incluso no processo um Ofício justificando o motivo da alteração.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3. A justificativa da alteração será analisada pela Assessoria Jurídica da Procuradoria Geral do Estado (PGE).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 Documentação necessária: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Minuta do Termo de Cessão de Uso, constante do Anexo I, devidamente preenchida pelo setor técnico competente, em conformidade com o plano de trabalho apresentado;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Plano de trabalho, constante do Anexo II, aprovado por ambos os partícipes, constando a justificativa para o ajuste, seu objeto, as metas a serem atingidas, as etapas e/ou fases de execução, a previsão de início e fim da cessão, e demais termos que forem necessários ao planejamento da cessão (arts. 5º e 184, da Lei nº 14.133/2021);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Cópia da Lei Municipal que autoriza a cessão de uso, caso essa exigência conste da Lei Orgânica do Município;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Ofício do ente municipal cedente, informando o interesse em realizar a cessão de uso e contendo a especificação do(s) veículo(s) objeto da cessão;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Análise jurídica do órgão de assessoramento jurídico do Município acerca da minuta do termo de cessão de uso (caput e §4º do art. 53 da Lei nº 14.133/2021);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Manifestação técnica do órgão estadual interessado no recebimento do(s) veículo(s), especificando o fim e o uso de interesse social ao qual será(ão) destinado(s);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Cópia do(s) Certificado(s) de Registro e Licenciamento do Veículo – CRLV, em nome do Município cedente;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Termo de Vistoria, com a identificação dos veículos e declaração de que se encontra(m) em boas condições de uso;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Indicação da dotação orçamentária e comprovação da disponibilidade dos recursos financeiros para a cobertura de eventuais custos de manutenção dos bens recebidos pelo Estado;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Posse do Prefeito; e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Documento de identidade do Prefeito Municipal com regra de sigilo “Setor de Competência e usuários com a carga do Processo”.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5. Nomear 2 Gestores (Titular e Suplente) e 2 Fiscais (Titular e Suplente), 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por parte do CBMSC e 1 Gestor e 1 Fiscal, por parte do Município,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inserir os nomeados como interessados no processo. No momento da tramitação, informar quem são os nomeados, informando posto/graduação e nome completo.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 Encaminhar o processo para o Centro de Convênios (CBMSC/DLF/DIF/CCV).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 Não gerar peça de tramitação ao encaminhar o processo para a Seção de Convênios. Informações importantes e pertinentes ao processo deverão ser incluídas na forma de Despacho. No encaminhamento deverá ser informado apenas Informações referente a tramitação.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8. “Não” assinar as peças incluídas pela OBM. Apenas deverá ser assinado quando solicitado ou os documentos que devem vir assinados conforme o PAP. A OBM assinará somente onde requer a assinatura do mesmo;</w:t>
      </w:r>
      <w:r>
        <w:br w:type="page"/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left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highlight w:val="yellow"/>
          <w:u w:val="single"/>
          <w:vertAlign w:val="baseline"/>
        </w:rPr>
        <w:t>Minuta do Termo de Cessão Uso Gratuito de Bens Móveis</w:t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4535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TERMO DE CESSÃO DE USO Nº </w:t>
      </w:r>
      <w:r>
        <w:rPr>
          <w:rFonts w:eastAsia="Arial" w:cs="Arial" w:ascii="Arial" w:hAnsi="Arial"/>
          <w:b/>
          <w:color w:val="FF0000"/>
          <w:position w:val="0"/>
          <w:sz w:val="24"/>
          <w:sz w:val="24"/>
          <w:szCs w:val="24"/>
          <w:vertAlign w:val="baseline"/>
        </w:rPr>
        <w:t>XXX/202X</w:t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181" w:after="0"/>
        <w:ind w:hanging="0" w:left="4754" w:right="106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CESSÃO DE USO QUE ENTRE SI CELEBRAM O MUNICÍPIO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 O ESTADO DE SANTA CATARINA, POR INTERMÉDIO DO CORPO DE BOMBEIROS MILITAR DO ESTADO DE SANTA CATARINA - CBMSC.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MUNICÍPIO DE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situado no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nº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inscrito no CNPJ nº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doravante denominado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CEDENTE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neste ato representado pelo Prefeito Municipal, o Exmo Sr.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portador do CPF nº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***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-**, e 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ESTADO DE SANTA CATARINA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 por intermédio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CORPO DE BOMBEIROS MILITAR DO ESTADO DE SANTA CATARINA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- CBMSC, situado na </w:t>
      </w:r>
      <w:r>
        <w:rPr>
          <w:rFonts w:eastAsia="Arial" w:cs="Arial" w:ascii="Arial" w:hAnsi="Arial"/>
          <w:sz w:val="24"/>
          <w:szCs w:val="24"/>
        </w:rPr>
        <w:t>Avenida Governador Ivo Silveira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nº </w:t>
      </w:r>
      <w:r>
        <w:rPr>
          <w:rFonts w:eastAsia="Arial" w:cs="Arial" w:ascii="Arial" w:hAnsi="Arial"/>
          <w:sz w:val="24"/>
          <w:szCs w:val="24"/>
        </w:rPr>
        <w:t>1521 - Ático - Torre 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Capoeiras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– Florianópolis, inscrito no CNPJ sob nº 06.096.391/0001-76, doravante denominado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CESSIONÁRIO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neste ato representado por seu </w:t>
      </w:r>
      <w:r>
        <w:rPr>
          <w:rFonts w:eastAsia="Arial" w:cs="Arial" w:ascii="Arial" w:hAnsi="Arial"/>
          <w:b/>
          <w:smallCaps/>
          <w:position w:val="0"/>
          <w:sz w:val="24"/>
          <w:sz w:val="24"/>
          <w:szCs w:val="24"/>
          <w:vertAlign w:val="baseline"/>
        </w:rPr>
        <w:t xml:space="preserve">COMANDANTE-GERAL CORONEL BM </w:t>
      </w:r>
      <w:r>
        <w:rPr>
          <w:rFonts w:eastAsia="Arial" w:cs="Arial" w:ascii="Arial" w:hAnsi="Arial"/>
          <w:b/>
          <w:smallCaps/>
          <w:sz w:val="24"/>
          <w:szCs w:val="24"/>
        </w:rPr>
        <w:t>FABIANO DE SOUZA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portador do CPF nº </w:t>
      </w:r>
      <w:r>
        <w:rPr>
          <w:rFonts w:eastAsia="Arial" w:cs="Arial" w:ascii="Arial" w:hAnsi="Arial"/>
          <w:sz w:val="24"/>
          <w:szCs w:val="24"/>
        </w:rPr>
        <w:t>021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***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51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9-**,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resolvem, por mútuo acordo, celebrar o presente Termo de Cessão de Uso Gratuito, de acordo com as cláusulas e condições seguintes: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PRIMEIRA - DO OBJETO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1.1.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O objeto do presente termo é a cessão de uso pelo CEDENTE em favor do CESSIONÁRIO, a título gratuito, do(s) seguinte(s) bem(ns) móvel(eis): </w:t>
      </w:r>
    </w:p>
    <w:p>
      <w:pPr>
        <w:pStyle w:val="LO-normal"/>
        <w:widowControl/>
        <w:numPr>
          <w:ilvl w:val="0"/>
          <w:numId w:val="1"/>
        </w:numPr>
        <w:shd w:val="clear" w:fill="auto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numPr>
          <w:ilvl w:val="0"/>
          <w:numId w:val="0"/>
        </w:numPr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1.1.1 </w:t>
      </w:r>
      <w:r>
        <w:rPr>
          <w:rFonts w:ascii="Arial" w:hAnsi="Arial"/>
          <w:b w:val="false"/>
          <w:bCs w:val="false"/>
          <w:sz w:val="24"/>
          <w:szCs w:val="24"/>
        </w:rPr>
        <w:t>XX</w:t>
      </w:r>
      <w:r>
        <w:rPr>
          <w:rFonts w:ascii="Arial" w:hAnsi="Arial"/>
          <w:b w:val="false"/>
          <w:bCs w:val="false"/>
          <w:sz w:val="24"/>
          <w:szCs w:val="24"/>
        </w:rPr>
        <w:t xml:space="preserve"> (</w:t>
      </w:r>
      <w:r>
        <w:rPr>
          <w:rFonts w:ascii="Arial" w:hAnsi="Arial"/>
          <w:b w:val="false"/>
          <w:bCs w:val="false"/>
          <w:sz w:val="24"/>
          <w:szCs w:val="24"/>
        </w:rPr>
        <w:t>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) veículo marca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modelo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cor predominante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combustível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ano de fabricação </w:t>
      </w:r>
      <w:r>
        <w:rPr>
          <w:rFonts w:ascii="Arial" w:hAnsi="Arial"/>
          <w:b/>
          <w:bCs/>
          <w:sz w:val="24"/>
          <w:szCs w:val="24"/>
          <w:highlight w:val="yellow"/>
        </w:rPr>
        <w:t>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ano de modelo </w:t>
      </w:r>
      <w:r>
        <w:rPr>
          <w:rFonts w:ascii="Arial" w:hAnsi="Arial"/>
          <w:b/>
          <w:bCs/>
          <w:sz w:val="24"/>
          <w:szCs w:val="24"/>
          <w:highlight w:val="yellow"/>
        </w:rPr>
        <w:t>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chassi nº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RENAVAM nº </w:t>
      </w:r>
      <w:r>
        <w:rPr>
          <w:rFonts w:ascii="Arial" w:hAnsi="Arial"/>
          <w:b/>
          <w:bCs/>
          <w:sz w:val="24"/>
          <w:szCs w:val="24"/>
          <w:highlight w:val="yellow"/>
        </w:rPr>
        <w:t>xxxxxxxxx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placas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>;</w:t>
      </w:r>
    </w:p>
    <w:p>
      <w:pPr>
        <w:pStyle w:val="LO-normal"/>
        <w:widowControl/>
        <w:shd w:val="clear" w:fill="auto"/>
        <w:spacing w:lineRule="auto" w:line="240" w:before="0" w:after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1.1.2 </w:t>
      </w:r>
      <w:r>
        <w:rPr>
          <w:rFonts w:ascii="Arial" w:hAnsi="Arial"/>
          <w:b/>
          <w:bCs/>
          <w:sz w:val="24"/>
          <w:szCs w:val="24"/>
          <w:highlight w:val="yellow"/>
        </w:rPr>
        <w:t>(inserir tantos itens quantos necessário)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1.2.</w:t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objeto(s) deste termo de cessão de uso foi(ram)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adquridos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 recursos da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CONTA CONVÊNIO-PREFEITURA/CBMSC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cumprimento ao Convênio nº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XXX/202X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.;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o(s) objeto(s) ser(em) adquirido(s) com recursos do Convênio)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highlight w:val="yellow"/>
          <w:u w:val="none"/>
          <w:vertAlign w:val="baseline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1.2.</w:t>
        <w:tab/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objeto(s) deste termo de cessão de uso foi(ram) adquiridos com recursos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Município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shd w:fill="auto" w:val="clear"/>
          <w:vertAlign w:val="baseline"/>
        </w:rPr>
        <w:t xml:space="preserve"> (indicar a fonte)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.;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shd w:fill="auto" w:val="clear"/>
          <w:vertAlign w:val="baseline"/>
        </w:rPr>
        <w:t>(no caso de o(s) objeto(s) ser(em) adquirido(s) com recursos do Município)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o(s) objeto(s) ser(em) adquirido(s) com recursos do Convênio e recursos próprios do Município, utilizar a redação abaixo:)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O(s) objeto(s) objeto deste termo de cessão de uso foi(ram) adquirido(s) com recursos do CONTA CONVÊNIO-PREFEITURA/CBMSC, em cumprimento ao Convênio nº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XXX/202X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na proporção de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% (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por extenso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), e recursos próprios do Município, na proporção de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% (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por extenso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(ou a fonte do recurso)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     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1.3.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O(s) veículo(s) objeto do presente termo está(ão) equipados com todos os equipamentos obrigatórios.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1.4.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O(s) veículo(s) objeto do presente termo não pode(m) ser transferido(s) ou ser objeto de subcessão a terceiros.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SEGUNDA – DA LEGISLAÇÃO APLICÁVEL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 cessão de uso reger-se-á pela legislação aplicável à espécie e, especialmente e no que couber, pelas seguintes normas e respectivas atualizações posteriores: art. 8º, IX, da Constituição Estadual; 14.133, de 01/04/2021; o Decreto Federal nº. 9.373/2018, na Lei Complementar Estadual nº. 741/2019, nos Decretos Estaduais nº. 1.382/2017, 1.479/2021 e 4.160/2006, além da Instrução Normativa nº 3/2020 – SEA e respectivas alterações; Lei Municipal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xx/xx/xxxx (se for necessária)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CLÁUSULA TERCEIRA - DA DESTINAÇÃO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bem(ns) destina(am)-se a desenvolver a manutenção e execução dos serviços de bombeiro militar no Município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nos termos do Plano de Trabalho que deverá ser anexado, se sujeitando ainda à Prestação de Contas dos atos praticados por Fiscal do instrumento previamente compromissado.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CLÁUSULA QUARTA - DA UTILIZAÇÃO E DAS OBRIGAÇÕES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4.1. - São obrigações do CEDENTE: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4.1.1.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Entregar o(s) veículos(s) objeto deste termo com os documentos relacionados, sem ônus de qualquer natureza;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4.1.2. </w:t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Exercer a fiscalização do(s) veículo(s) quanto à sua utilização e ao atendimento da destinação;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position w:val="0"/>
          <w:sz w:val="24"/>
          <w:sz w:val="24"/>
          <w:szCs w:val="24"/>
          <w:vertAlign w:val="baseline"/>
        </w:rPr>
        <w:t xml:space="preserve">4.1.3. </w:t>
      </w:r>
      <w:r>
        <w:rPr>
          <w:rFonts w:eastAsia="Arial" w:cs="Arial" w:ascii="Arial" w:hAnsi="Arial"/>
          <w:b w:val="false"/>
          <w:bCs/>
          <w:position w:val="0"/>
          <w:sz w:val="24"/>
          <w:sz w:val="24"/>
          <w:szCs w:val="24"/>
          <w:vertAlign w:val="baseline"/>
        </w:rPr>
        <w:t>Designar representante ou comissão, durante o período de vigência do presente instrumento, para representá-lo;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position w:val="0"/>
          <w:sz w:val="24"/>
          <w:sz w:val="24"/>
          <w:szCs w:val="24"/>
          <w:vertAlign w:val="baseline"/>
        </w:rPr>
        <w:t>4.1.4.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Prestar informações e esclarecimentos, quando requerido pelo Cessionário de forma fundamentada.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 - São obrigações do CESSIONÁRIO: </w:t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4.2.1.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Receber e usar o(s) bem(ns) exclusivamente para o fim a que se destina(m), em conformidade com sua regular utilização, nos termos dos manuais dos fabricantes e documentos correlatos, atendendo ao interesse público, sendo vedado ainda a transferência ou sub-cessão a terceiros;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4.2.2.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zelar pela guarda do(s) bem(ns), mantendo-o(s) em perfeito estado de conservação, livre(s) e desembaraçado(s) de qualquer ônus, responsabilizando-se por eventuais transgressões legais e danos atinentes;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4.2.3.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Guardar, manter, cuidar, armazenar e disponibilizar para fiscalização do CEDENTE todo(s) o(s) bem(ns) recebidos pelo presente instrumento, exceto se consumíveis, arcando com eventuais custos incidentes ao(s) bem(ns); 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4.2.4.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Devolver o(s) bem(ns) objeto deste termo, no estado em que se encontrar, ao Cedente ao término do prazo de vigência estipulado para a cessão de uso, salvo no caso de prorrogação;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4.2.5.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Designar representante ou comissão, durante o período de vigência do presente instrumento, para representá-lo;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4.2.6.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Publicar o extrato do presente termo no Diário Oficial do Estado de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Santa Catarina.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QUINTA – DA CARACTERIZAÇÃO DOS VEÍCULOS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Enquanto a cessão de uso estiver vigente o(s) veículo(s) objeto deste instrumento passará(ão) a integrar a frota do Cessionário e será(ão) caracterizado(s) com suas cores, seus símbolos, equipamentos e outros elementos de identificação específicos, relacionados aos serviços a que se destinam.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SEXTA – DA DEPRECIAÇÃO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Quando da rescisão ou expiração deste instrumento o(s) veículo(s) será(ão) devolvido(s) ao Cedente no estado em que se encontrar(em), respeitado o desgaste natural decorrente de seu uso normal.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SÉTIMA – DAS INFRAÇÕES A LEGISLAÇÃO DE TRÂNSITO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caso de cometimento de alguma infração de trânsito, o Cessionário se obriga a: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Indicar ao Órgão de Trânsito o condutor, nos termos da legislação vigente, em prazo não superior a 15 (quinze) dias contados da data de recebimento da Notificação da Autuação;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7.1.2.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Apurar a responsabilidade e providenciar o pagamento da multa aplicada, nos termos do Decreto Estadual nº 2.037, de 24/02/2014, ou outro que venha a substituí-lo, ainda que o recebimento da Notificação da Autuação seja posterior ao término da cessão de uso.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680" w:left="144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OITAVA – DA DEVOLUÇÃO DO BEM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Ao término do prazo de vigência da cessão de uso sem que haja prorrogação, ou sendo ela rescindida por qualquer motivo, o Cessionário devolverá imediatamente o(s) veículo(s) ao Cedente, que providenciará o leilão, depositando o montante arrecadado na conta bancária vinculada ao Convênio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, ou outro convênio com o mesmo objeto que venha a substituí-lo.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veículo(s) adquiridos com recursos do Convênio e recursos próprios do Município, utilizar a redação abaixo:)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Ao término do prazo de vigência da cessão de uso sem que haja prorrogação, ou sendo ela rescindida por qualquer motivo, o Cessionário devolverá imediatamente o(s) veículo(s) ao Cedente, que providenciará o leilão, depositando o montante arrecadado na conta bancária vinculada ao Convênio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, ou outro convênio com o mesmo objeto que venha a substituí-lo.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8.2.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resultado do leilão será rateado na mesma proporção especificada no item 1.2 deste instrumento.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NONA - DA DOTAÇÃO ORÇAMENTÁRIA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strike w:val="false"/>
          <w:dstrike w:val="false"/>
          <w:position w:val="0"/>
          <w:sz w:val="24"/>
          <w:sz w:val="24"/>
          <w:szCs w:val="24"/>
          <w:vertAlign w:val="baseline"/>
        </w:rPr>
        <w:t xml:space="preserve">As eventuais despesas decorrentes da utilização do bem e das obrigações pactuadas, correrão à conta dos recursos consignados no Orçamento da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CONTA CONVÊNIO-PREFEITURA/CBMSC (colocar o nome da conta convênio) (INDICAR SEU FUNDO ORÇAMENTÁRIO/MELHORAMENTO)</w:t>
      </w:r>
      <w:r>
        <w:rPr>
          <w:rFonts w:eastAsia="Arial" w:cs="Arial" w:ascii="Arial" w:hAnsi="Arial"/>
          <w:sz w:val="24"/>
          <w:szCs w:val="24"/>
        </w:rPr>
        <w:t>,</w:t>
      </w:r>
      <w:r>
        <w:rPr>
          <w:rFonts w:eastAsia="Arial" w:cs="Arial" w:ascii="Arial" w:hAnsi="Arial"/>
          <w:color w:val="FF000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em cumprimento ao Convênio nº</w:t>
      </w:r>
      <w:r>
        <w:rPr>
          <w:rFonts w:eastAsia="Arial" w:cs="Arial" w:ascii="Arial" w:hAnsi="Arial"/>
          <w:color w:val="FF00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XXX/202X</w:t>
      </w:r>
      <w:r>
        <w:rPr>
          <w:rFonts w:eastAsia="Arial" w:cs="Arial" w:ascii="Arial" w:hAnsi="Arial"/>
          <w:b w:val="false"/>
          <w:strike w:val="false"/>
          <w:dstrike w:val="false"/>
          <w:position w:val="0"/>
          <w:sz w:val="24"/>
          <w:sz w:val="24"/>
          <w:szCs w:val="24"/>
          <w:vertAlign w:val="baseline"/>
        </w:rPr>
        <w:t xml:space="preserve"> entre o município e o CBMSC, ou outro convênio com o mesmo objeto que venha a substituí-lo.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DÉCIMA - DA FISCALIZAÇÃO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CEDENTE poderá obter informações do(s) bem(ns) em cessão a qualquer momento, cabendo ao CESSIONÁRIO: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77" w:leader="none"/>
        </w:tabs>
        <w:spacing w:lineRule="auto" w:line="240" w:before="0" w:after="0"/>
        <w:ind w:hanging="0" w:left="144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tabs>
          <w:tab w:val="clear" w:pos="720"/>
          <w:tab w:val="left" w:pos="47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informar todos os dados à CEDENTE quando solicitados;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9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encaminhar relatório à CEDENTE no momento da entrega do(s) bem(ns), após a utilização – quando consumível(is) – ou início da utilização – quando permanentes, além de outras informações que forem relevantes;</w:t>
      </w:r>
    </w:p>
    <w:p>
      <w:pPr>
        <w:pStyle w:val="LO-normal"/>
        <w:widowControl/>
        <w:shd w:val="clear" w:fill="auto"/>
        <w:spacing w:lineRule="auto" w:line="240" w:before="0" w:after="0"/>
        <w:ind w:hanging="0" w:left="1440" w:right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as atribuições do gestor e do fiscal constarão no termo de responsabilidade/compromisso por eles assinado.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DÉCIMA PRIMEIRA – DO PRAZO E DA VIGÊNCIA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termo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cessão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uso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terá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vigência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prazo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05 (cinco)</w:t>
      </w:r>
      <w:r>
        <w:rPr>
          <w:rFonts w:ascii="Arial" w:hAnsi="Arial"/>
          <w:spacing w:val="-14"/>
          <w:sz w:val="24"/>
          <w:szCs w:val="24"/>
        </w:rPr>
        <w:t xml:space="preserve"> </w:t>
      </w:r>
      <w:r>
        <w:rPr>
          <w:rFonts w:eastAsia="Arial MT" w:cs="Arial MT" w:ascii="Arial" w:hAnsi="Arial"/>
          <w:b/>
          <w:bCs/>
          <w:sz w:val="24"/>
          <w:szCs w:val="24"/>
          <w:shd w:fill="FFFF00" w:val="clear"/>
          <w:lang w:val="pt-PT" w:eastAsia="en-US" w:bidi="ar-SA"/>
        </w:rPr>
        <w:t>(especificar caso seja menor o prazo)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anos,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contados</w:t>
      </w:r>
      <w:r>
        <w:rPr>
          <w:rFonts w:ascii="Arial" w:hAnsi="Arial"/>
          <w:spacing w:val="-5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data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publicação 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extrato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Diário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Oficial 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Estado;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cessão de uso poderá ser prorrogada mediante a lavratura de termos aditivos,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devem ser apresentados no mínimo 30 (trinta) dias antes de expirado o prazo de vigência da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cessão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uso,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haja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manifestação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interesse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ambos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partícipes;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prorrogação deverá ser precedida de solicitação do Cessionário ao Cedente, na qual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conste a justificativa para sua manutenção, acompanhada do Plano de Trabalho para o novo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período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prévia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concordância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Cedente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 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prorrogação.</w:t>
      </w:r>
    </w:p>
    <w:p>
      <w:pPr>
        <w:pStyle w:val="Heading1"/>
        <w:pageBreakBefore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DÉCIMA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eastAsia="Noto Serif CJK SC" w:cs="Lohit Devanagari" w:ascii="Arial" w:hAnsi="Arial"/>
          <w:b/>
          <w:color w:val="auto"/>
          <w:kern w:val="0"/>
          <w:sz w:val="24"/>
          <w:szCs w:val="24"/>
          <w:lang w:val="pt-BR" w:eastAsia="zh-CN" w:bidi="hi-IN"/>
        </w:rPr>
        <w:t>TERCEIRA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PROTEÇÃO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DADOS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PESSOAIS</w:t>
      </w:r>
    </w:p>
    <w:p>
      <w:pPr>
        <w:pStyle w:val="BodyText"/>
        <w:widowControl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As partes declaram que têm ciência da existência da Lei nº 13.709, de 14/08/2018, Lei Geral de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Proteção de Dados (LGPD), e se comprometem a adequar todos os procedimentos internos ao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disposto na legislação, com o intuito de proteger os dados pessoais que lhe forem repassados,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cumprindo, a todo o momento, as normas de proteção de dados pessoais, jamais colocando, por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seus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atos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ou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por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sua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omissão,</w:t>
      </w:r>
      <w:r>
        <w:rPr>
          <w:rFonts w:eastAsia="Arial" w:cs="Arial" w:ascii="Arial" w:hAnsi="Arial"/>
          <w:b w:val="false"/>
          <w:bCs w:val="false"/>
          <w:spacing w:val="-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uma ou outra instituição em situação de violação de tais regras.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CLÁUSULA DÉCIMA </w:t>
      </w:r>
      <w:r>
        <w:rPr>
          <w:rFonts w:eastAsia="Arial" w:cs="Arial" w:ascii="Arial" w:hAnsi="Arial"/>
          <w:b/>
          <w:color w:val="auto"/>
          <w:kern w:val="0"/>
          <w:position w:val="0"/>
          <w:sz w:val="24"/>
          <w:sz w:val="24"/>
          <w:szCs w:val="24"/>
          <w:vertAlign w:val="baseline"/>
          <w:lang w:val="pt-BR" w:eastAsia="zh-CN" w:bidi="hi-IN"/>
        </w:rPr>
        <w:t>QUARTA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– DA CLÁUSULA ANTICORRUPÇÃO (IN CGE/SEA nº. 1/2020)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partes,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por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seus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agentes,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servidores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e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contratados:</w:t>
      </w:r>
    </w:p>
    <w:p>
      <w:pPr>
        <w:pStyle w:val="ListParagraph"/>
        <w:widowControl/>
        <w:numPr>
          <w:ilvl w:val="1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Declaram que têm conhecimento das normas previstas na legislação, entre as quais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8.429,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02/07/1992,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12.846,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01/10/2013,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seus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regulamentos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outras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eventualmente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aplicáveis;</w:t>
      </w:r>
    </w:p>
    <w:p>
      <w:pPr>
        <w:pStyle w:val="ListParagraph"/>
        <w:widowControl/>
        <w:numPr>
          <w:ilvl w:val="1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Comprometem-se em não adotar práticas ou procedimentos que se enquadrem 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hipóteses previstas nas leis e regulamentos mencionados no inciso I desta cláusula e 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comprometem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exigir 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mesmo pelos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terceiros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contratados;</w:t>
      </w:r>
    </w:p>
    <w:p>
      <w:pPr>
        <w:pStyle w:val="ListParagraph"/>
        <w:widowControl/>
        <w:numPr>
          <w:ilvl w:val="1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Comprometem-se em notificar a Controladoria-Geral do Estado qualquer irregularidade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tiverem conhecimento acerca da execução da presente cessão de uso e de qualquer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relacionada;</w:t>
      </w:r>
    </w:p>
    <w:p>
      <w:pPr>
        <w:pStyle w:val="ListParagraph"/>
        <w:widowControl/>
        <w:numPr>
          <w:ilvl w:val="1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Declaram que têm ciência que a violação de qualquer das obrigações previstas na Instrução Normativa Conjunta CGE/SEA nº 1, de 26/03/2020, além de outras, é causa para a rescisão unilateral da cessão de uso, sem prejuízo da cobrança e responsabilização das perdas e danos, inclusive danos potenciais, causados à parte inocente.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CLÁUSULA DÉCIMA SEXTA - DO FORO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qualquer ação judicial que se originar deste instrumento, fica eleito o Foro da Comarca de Capital, renunciando as partes a qualquer outro, mesmo que mais privilegiado.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 assim, por estarem justos e acordes, assinam o presente termo, junto com duas testemunhas.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(Município)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SC,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 da última assinatura digital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"/>
        <w:tblW w:w="9209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4843"/>
      </w:tblGrid>
      <w:tr>
        <w:trPr>
          <w:tblHeader w:val="true"/>
        </w:trPr>
        <w:tc>
          <w:tcPr>
            <w:tcW w:w="4365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PREFEITO</w:t>
            </w:r>
          </w:p>
          <w:p>
            <w:pPr>
              <w:pStyle w:val="LO-normal"/>
              <w:tabs>
                <w:tab w:val="clear" w:pos="720"/>
                <w:tab w:val="left" w:pos="269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Prefeito Municipal de </w:t>
            </w:r>
            <w:r>
              <w:rPr>
                <w:rFonts w:eastAsia="Arial" w:cs="Arial" w:ascii="Arial" w:hAnsi="Arial"/>
                <w:b w:val="false"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xxx</w:t>
              <w:br/>
            </w: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4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position w:val="0"/>
                <w:sz w:val="24"/>
                <w:sz w:val="24"/>
                <w:szCs w:val="24"/>
                <w:vertAlign w:val="baseline"/>
              </w:rPr>
              <w:t xml:space="preserve">Coronel BM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FABIANO DE SOUZA</w:t>
            </w: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Comandante-Geral do Corpo de Bombeiros</w:t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Militar de Santa Catarina</w:t>
            </w: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spacing w:lineRule="auto" w:line="240" w:before="0" w:after="0"/>
        <w:ind w:hanging="0" w:left="0" w:right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Testemunhas:</w:t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CBMSC:</w:t>
      </w:r>
    </w:p>
    <w:tbl>
      <w:tblPr>
        <w:tblStyle w:val="Table2"/>
        <w:tblW w:w="9214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0"/>
        <w:gridCol w:w="4853"/>
      </w:tblGrid>
      <w:tr>
        <w:trPr>
          <w:tblHeader w:val="true"/>
        </w:trPr>
        <w:tc>
          <w:tcPr>
            <w:tcW w:w="4360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5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MUNICÍPIO:</w:t>
      </w:r>
    </w:p>
    <w:tbl>
      <w:tblPr>
        <w:tblStyle w:val="Table2"/>
        <w:tblW w:w="9214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0"/>
        <w:gridCol w:w="4853"/>
      </w:tblGrid>
      <w:tr>
        <w:trPr>
          <w:tblHeader w:val="true"/>
        </w:trPr>
        <w:tc>
          <w:tcPr>
            <w:tcW w:w="4360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5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PLANO DE TRABALHO</w:t>
      </w:r>
    </w:p>
    <w:p>
      <w:pPr>
        <w:pStyle w:val="LO-normal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1 - DADOS CADASTRAIS</w:t>
      </w:r>
    </w:p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978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5"/>
        <w:gridCol w:w="1754"/>
        <w:gridCol w:w="960"/>
        <w:gridCol w:w="1698"/>
        <w:gridCol w:w="2417"/>
      </w:tblGrid>
      <w:tr>
        <w:trPr/>
        <w:tc>
          <w:tcPr>
            <w:tcW w:w="7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CEDENTE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CNPJ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</w:tr>
      <w:tr>
        <w:trPr/>
        <w:tc>
          <w:tcPr>
            <w:tcW w:w="736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Rua XXX, Nº XX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BAIRRO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CIDADE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7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SC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XXXXX-XXX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(XX) XXXXX-XXXX</w:t>
            </w:r>
          </w:p>
        </w:tc>
      </w:tr>
      <w:tr>
        <w:trPr/>
        <w:tc>
          <w:tcPr>
            <w:tcW w:w="736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PREFEITO MUNICIPAL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***.000.000-**</w:t>
            </w:r>
          </w:p>
        </w:tc>
      </w:tr>
      <w:tr>
        <w:trPr/>
        <w:tc>
          <w:tcPr>
            <w:tcW w:w="4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RESPONSÁVEL (Gestor Titular - OBM)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6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FUNÇÃO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(XX) XXXXX-XXXX</w:t>
            </w:r>
          </w:p>
        </w:tc>
      </w:tr>
    </w:tbl>
    <w:p>
      <w:pPr>
        <w:pStyle w:val="LO-normal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2 - OUTROS PARTÍCIPES</w:t>
      </w:r>
    </w:p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978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5"/>
        <w:gridCol w:w="2090"/>
        <w:gridCol w:w="2154"/>
        <w:gridCol w:w="2585"/>
      </w:tblGrid>
      <w:tr>
        <w:trPr/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CESSIONÁRIO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CORPO DE BOMBEIROS MILITAR DE SANTA CATARINA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CNPJ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06.096.391/0001-76</w:t>
            </w:r>
          </w:p>
        </w:tc>
      </w:tr>
      <w:tr>
        <w:trPr/>
        <w:tc>
          <w:tcPr>
            <w:tcW w:w="71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AVENIDA GOVERNADOR IVO SILVEIRA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, Nº </w:t>
            </w:r>
            <w:r>
              <w:rPr>
                <w:rFonts w:eastAsia="Arial" w:cs="Arial" w:ascii="Arial" w:hAnsi="Arial"/>
                <w:sz w:val="24"/>
                <w:szCs w:val="24"/>
              </w:rPr>
              <w:t>1521 - ÁTICO - TORRE A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BAIRRO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CAPOEIRAS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CIDADE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FLORIANÓPOLIS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SC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880</w:t>
            </w:r>
            <w:r>
              <w:rPr>
                <w:rFonts w:eastAsia="Arial" w:cs="Arial" w:ascii="Arial" w:hAnsi="Arial"/>
                <w:sz w:val="24"/>
                <w:szCs w:val="24"/>
              </w:rPr>
              <w:t>85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Arial" w:cs="Arial" w:ascii="Arial" w:hAnsi="Arial"/>
                <w:sz w:val="24"/>
                <w:szCs w:val="24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00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(48) 3665-7800</w:t>
            </w:r>
          </w:p>
        </w:tc>
      </w:tr>
      <w:tr>
        <w:trPr/>
        <w:tc>
          <w:tcPr>
            <w:tcW w:w="5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RESPONSÁVEL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FABIANO DE SOUZA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021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  <w:r>
              <w:rPr>
                <w:rFonts w:eastAsia="Arial" w:cs="Arial" w:ascii="Arial" w:hAnsi="Arial"/>
                <w:sz w:val="24"/>
                <w:szCs w:val="24"/>
              </w:rPr>
              <w:t>***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  <w:r>
              <w:rPr>
                <w:rFonts w:eastAsia="Arial" w:cs="Arial" w:ascii="Arial" w:hAnsi="Arial"/>
                <w:sz w:val="24"/>
                <w:szCs w:val="24"/>
              </w:rPr>
              <w:t>51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9-**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CARGO/FUNÇÃO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COMANDANTE-GERAL</w:t>
            </w:r>
          </w:p>
        </w:tc>
      </w:tr>
    </w:tbl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tabs>
          <w:tab w:val="clear" w:pos="720"/>
          <w:tab w:val="left" w:pos="142" w:leader="none"/>
        </w:tabs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3 – IDENTIFICAÇÃO DO OBJETO</w:t>
      </w:r>
    </w:p>
    <w:p>
      <w:pPr>
        <w:pStyle w:val="LO-normal"/>
        <w:tabs>
          <w:tab w:val="clear" w:pos="720"/>
          <w:tab w:val="left" w:pos="142" w:leader="none"/>
        </w:tabs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Cessão, a título gratuito,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…Descrever o(s) objeto(s) do Termo de Cessão de Uso. (apenas o(s) objeto(s))</w:t>
      </w:r>
    </w:p>
    <w:p>
      <w:pPr>
        <w:pStyle w:val="LO-normal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(Indicar a fonte responsável por adquirir o(s) objeto(s) do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 Termo de Cessão de Uso.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blu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blue"/>
          <w:u w:val="none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4 – METAS A SEREM ATINGIDAS</w:t>
      </w:r>
    </w:p>
    <w:p>
      <w:pPr>
        <w:pStyle w:val="LO-normal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a) Manter a qualidade e efetividade dos atendimentos  do CBMSC, na execução das competências previstas no artigo 108 da Constituição do Estado de Santa Catarina, consubstanciadas nas atividades preventivas e de combate a incêndios, atendimento pré-hospitalar, salvamentos, busca e resgate. 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b) Propiciar o grau de segurança necessário ao funcionamento das atividades sociais, políticas e econômicas, em favor da coletividade.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5 – ETAPA OU FASE ÚNICA DA EXECUÇÃO</w:t>
      </w:r>
    </w:p>
    <w:p>
      <w:pPr>
        <w:pStyle w:val="LO-normal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U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 do bem móvel escolhido para </w:t>
      </w:r>
      <w:r>
        <w:rPr>
          <w:rFonts w:eastAsia="Arial" w:cs="Arial" w:ascii="Arial" w:hAnsi="Arial"/>
          <w:b/>
          <w:bCs/>
          <w:i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…descrever a meta ou fase única da execução/utilização do bem móvel.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 – PREVISÃO DE INÍCIO E FIM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3"/>
        <w:tblW w:w="98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58"/>
        <w:gridCol w:w="5121"/>
      </w:tblGrid>
      <w:tr>
        <w:trPr>
          <w:trHeight w:val="340" w:hRule="atLeast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INÍCIO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FIM</w:t>
            </w:r>
          </w:p>
        </w:tc>
      </w:tr>
      <w:tr>
        <w:trPr>
          <w:trHeight w:val="340" w:hRule="atLeast"/>
        </w:trPr>
        <w:tc>
          <w:tcPr>
            <w:tcW w:w="47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Mês/Ano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Mês/Ano</w:t>
            </w:r>
          </w:p>
        </w:tc>
      </w:tr>
    </w:tbl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 – JUSTIFICATIVA DA PROPOSIÇÃO</w:t>
      </w:r>
    </w:p>
    <w:p>
      <w:pPr>
        <w:pStyle w:val="LO-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celebração da presente cessão de uso tem por finalidade a necessidade de apoio das esferas de poder na participação das ações voltadas à segurança pública.</w:t>
      </w:r>
    </w:p>
    <w:p>
      <w:pPr>
        <w:pStyle w:val="LO-normal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 – DESTINAÇÃO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Descrever detalhadamente a destinação do bem.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 – FINALIDADE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Descrever detalhadamente a finalidade a ser especificada, não pode ser genérica. A descrição das atividades que serão desenvolvidas pelo interessado deve ser aderente à finalidade.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 – PEDIDO DE DEFERIMENTO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Na qualidade de representantes legais dos partícipes, deferimos o presente Plano de Trabalho, conforme cláusulas que irão reger o termo.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Município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– SC, data da última assinatura digital.</w:t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4"/>
        <w:tblW w:w="975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4"/>
        <w:gridCol w:w="4875"/>
      </w:tblGrid>
      <w:tr>
        <w:trPr/>
        <w:tc>
          <w:tcPr>
            <w:tcW w:w="4874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NOME COMPLETO PREFEITO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Prefeito Municipal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XXX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(assinado digitalmente)</w:t>
            </w:r>
          </w:p>
        </w:tc>
        <w:tc>
          <w:tcPr>
            <w:tcW w:w="4875" w:type="dxa"/>
            <w:tcBorders/>
            <w:shd w:fill="auto" w:val="clear"/>
          </w:tcPr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 xml:space="preserve">Coronel BM </w:t>
            </w:r>
            <w:r>
              <w:rPr>
                <w:rFonts w:eastAsia="Arial" w:cs="Arial" w:ascii="Arial" w:hAnsi="Arial"/>
                <w:b/>
                <w:sz w:val="24"/>
                <w:szCs w:val="24"/>
                <w:shd w:fill="auto" w:val="clear"/>
              </w:rPr>
              <w:t>FABIANO DE SOUZA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Comandante-Geral do Corpo de Bombeiros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Militar de Santa Catarina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567" w:top="1677" w:footer="567" w:bottom="1072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0" w:leader="none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0" w:leader="none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</w:tabs>
      <w:jc w:val="left"/>
      <w:rPr>
        <w:position w:val="0"/>
        <w:sz w:val="20"/>
        <w:sz w:val="20"/>
        <w:vertAlign w:val="baseline"/>
      </w:rPr>
    </w:pPr>
    <w:r>
      <w:rPr>
        <w:rFonts w:eastAsia="Arial" w:cs="Arial" w:ascii="Arial" w:hAnsi="Arial"/>
        <w:b/>
        <w:color w:val="FF3333"/>
        <w:position w:val="0"/>
        <w:sz w:val="22"/>
        <w:sz w:val="22"/>
        <w:szCs w:val="22"/>
        <w:vertAlign w:val="baseline"/>
      </w:rPr>
      <w:t>(Brasão e Cabeçalho do Município)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</w:tabs>
      <w:jc w:val="left"/>
      <w:rPr>
        <w:position w:val="0"/>
        <w:sz w:val="20"/>
        <w:sz w:val="20"/>
        <w:vertAlign w:val="baseline"/>
      </w:rPr>
    </w:pPr>
    <w:r>
      <w:rPr>
        <w:rFonts w:eastAsia="Arial" w:cs="Arial" w:ascii="Arial" w:hAnsi="Arial"/>
        <w:b/>
        <w:color w:val="FF3333"/>
        <w:position w:val="0"/>
        <w:sz w:val="22"/>
        <w:sz w:val="22"/>
        <w:szCs w:val="22"/>
        <w:vertAlign w:val="baseline"/>
      </w:rPr>
      <w:t>(Brasão e Cabeçalho do Município)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sz w:val="22"/>
        <w:szCs w:val="2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b/>
        <w:szCs w:val="22"/>
        <w:bCs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3">
    <w:lvl w:ilvl="0">
      <w:start w:val="11"/>
      <w:numFmt w:val="decimal"/>
      <w:lvlText w:val="%1"/>
      <w:lvlJc w:val="left"/>
      <w:pPr>
        <w:tabs>
          <w:tab w:val="num" w:pos="0"/>
        </w:tabs>
        <w:ind w:left="677" w:hanging="5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547"/>
      </w:pPr>
      <w:rPr>
        <w:sz w:val="22"/>
        <w:spacing w:val="-1"/>
        <w:b/>
        <w:szCs w:val="22"/>
        <w:bCs/>
        <w:w w:val="100"/>
        <w:rFonts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7" w:hanging="54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54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4" w:hanging="54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54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54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54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8" w:hanging="547"/>
      </w:pPr>
      <w:rPr>
        <w:rFonts w:ascii="Symbol" w:hAnsi="Symbol" w:cs="Symbol" w:hint="default"/>
      </w:rPr>
    </w:lvl>
  </w:abstractNum>
  <w:abstractNum w:abstractNumId="4">
    <w:lvl w:ilvl="0">
      <w:start w:val="15"/>
      <w:numFmt w:val="decimal"/>
      <w:lvlText w:val="%1"/>
      <w:lvlJc w:val="left"/>
      <w:pPr>
        <w:tabs>
          <w:tab w:val="num" w:pos="0"/>
        </w:tabs>
        <w:ind w:left="677" w:hanging="575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575"/>
      </w:pPr>
      <w:rPr>
        <w:vertAlign w:val="baseline"/>
        <w:position w:val="0"/>
        <w:sz w:val="22"/>
        <w:sz w:val="22"/>
        <w:b/>
        <w:szCs w:val="22"/>
        <w:bCs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7" w:hanging="57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57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4" w:hanging="57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57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57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57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8" w:hanging="575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0" w:after="0"/>
      <w:ind w:hanging="0" w:left="116" w:right="108"/>
      <w:jc w:val="both"/>
    </w:pPr>
    <w:rPr>
      <w:rFonts w:ascii="Arial MT" w:hAnsi="Arial MT" w:eastAsia="Arial MT" w:cs="Arial MT"/>
      <w:lang w:val="pt-PT" w:eastAsia="en-US" w:bidi="ar-SA"/>
    </w:rPr>
  </w:style>
  <w:style w:type="numbering" w:styleId="Numerao123">
    <w:name w:val="Numeração 123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LibreOffice/24.2.7.2$Linux_X86_64 LibreOffice_project/420$Build-2</Application>
  <AppVersion>15.0000</AppVersion>
  <Pages>10</Pages>
  <Words>2526</Words>
  <Characters>14071</Characters>
  <CharactersWithSpaces>16428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2025-09-29T15:02:07Z</dcterms:modified>
  <cp:revision>5</cp:revision>
  <dc:subject/>
  <dc:title/>
</cp:coreProperties>
</file>