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245/202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15/04/2025.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DESIGNAR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o </w:t>
      </w:r>
      <w:r>
        <w:rPr>
          <w:rFonts w:eastAsia="Arial" w:cs="Arial" w:ascii="Arial" w:hAnsi="Arial"/>
          <w:b/>
          <w:sz w:val="22"/>
          <w:szCs w:val="22"/>
        </w:rPr>
        <w:t>Cabo BM RR MTCL 920372-9 SAMUEL OSCAR MARTINS,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administrativa no 2º/1ª/13ºBBM, Balneário Camboriú-SC, no período de 23/04/2025 a 22/04/2027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8202/2025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96</Words>
  <Characters>525</Characters>
  <CharactersWithSpaces>617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2025-04-23T15:53:04Z</dcterms:modified>
  <cp:revision>1</cp:revision>
  <dc:subject/>
  <dc:title/>
</cp:coreProperties>
</file>